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7C4E3945"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t>S6-24</w:t>
      </w:r>
      <w:r w:rsidR="001F0441">
        <w:rPr>
          <w:b/>
          <w:noProof/>
          <w:sz w:val="24"/>
        </w:rPr>
        <w:t>4</w:t>
      </w:r>
      <w:r>
        <w:rPr>
          <w:b/>
          <w:noProof/>
          <w:sz w:val="24"/>
        </w:rPr>
        <w:t>xxx</w:t>
      </w:r>
    </w:p>
    <w:p w14:paraId="133FF1EF" w14:textId="15862F34"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5F5B013"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447AB">
        <w:rPr>
          <w:rFonts w:ascii="Arial" w:hAnsi="Arial" w:cs="Arial" w:hint="eastAsia"/>
          <w:b/>
          <w:bCs/>
          <w:lang w:eastAsia="ja-JP"/>
        </w:rPr>
        <w:t>NTT DOCOMO</w:t>
      </w:r>
    </w:p>
    <w:p w14:paraId="7A651A91" w14:textId="6F3FB97D" w:rsidR="00CD2478" w:rsidRDefault="00CD2478" w:rsidP="00CD2478">
      <w:pPr>
        <w:spacing w:after="120"/>
        <w:ind w:left="1985" w:hanging="1985"/>
        <w:rPr>
          <w:rFonts w:ascii="Arial" w:hAnsi="Arial" w:cs="Arial"/>
          <w:b/>
          <w:bCs/>
          <w:lang w:eastAsia="ja-JP"/>
        </w:rPr>
      </w:pPr>
      <w:r>
        <w:rPr>
          <w:rFonts w:ascii="Arial" w:hAnsi="Arial" w:cs="Arial"/>
          <w:b/>
          <w:bCs/>
        </w:rPr>
        <w:t>Title:</w:t>
      </w:r>
      <w:r>
        <w:rPr>
          <w:rFonts w:ascii="Arial" w:hAnsi="Arial" w:cs="Arial"/>
          <w:b/>
          <w:bCs/>
        </w:rPr>
        <w:tab/>
        <w:t xml:space="preserve">Pseudo-CR on </w:t>
      </w:r>
      <w:r w:rsidR="00C22BE3">
        <w:rPr>
          <w:rFonts w:ascii="Arial" w:hAnsi="Arial" w:cs="Arial" w:hint="eastAsia"/>
          <w:b/>
          <w:bCs/>
          <w:lang w:eastAsia="ja-JP"/>
        </w:rPr>
        <w:t>Editorial corrections</w:t>
      </w:r>
      <w:r w:rsidR="007B2C47">
        <w:rPr>
          <w:rFonts w:ascii="Arial" w:hAnsi="Arial" w:cs="Arial" w:hint="eastAsia"/>
          <w:b/>
          <w:bCs/>
          <w:lang w:eastAsia="ja-JP"/>
        </w:rPr>
        <w:t xml:space="preserve"> in</w:t>
      </w:r>
      <w:r w:rsidR="007B2C47" w:rsidRPr="007B2C47">
        <w:rPr>
          <w:rFonts w:ascii="Arial" w:hAnsi="Arial" w:cs="Arial"/>
          <w:b/>
          <w:bCs/>
          <w:lang w:eastAsia="ja-JP"/>
        </w:rPr>
        <w:t xml:space="preserve"> TS 23.482 V0.2.0</w:t>
      </w:r>
    </w:p>
    <w:p w14:paraId="13B93593" w14:textId="4D5E91B7" w:rsidR="00CD2478" w:rsidRDefault="00CD2478" w:rsidP="00CD2478">
      <w:pPr>
        <w:spacing w:after="120"/>
        <w:ind w:left="1985" w:hanging="1985"/>
        <w:rPr>
          <w:rFonts w:ascii="Arial" w:hAnsi="Arial" w:cs="Arial"/>
          <w:b/>
          <w:bCs/>
          <w:lang w:eastAsia="ja-JP"/>
        </w:rPr>
      </w:pPr>
      <w:r>
        <w:rPr>
          <w:rFonts w:ascii="Arial" w:hAnsi="Arial" w:cs="Arial"/>
          <w:b/>
          <w:bCs/>
        </w:rPr>
        <w:t>Spec:</w:t>
      </w:r>
      <w:r>
        <w:rPr>
          <w:rFonts w:ascii="Arial" w:hAnsi="Arial" w:cs="Arial"/>
          <w:b/>
          <w:bCs/>
        </w:rPr>
        <w:tab/>
      </w:r>
      <w:r w:rsidR="007B2C47" w:rsidRPr="007B2C47">
        <w:rPr>
          <w:rFonts w:ascii="Arial" w:hAnsi="Arial" w:cs="Arial"/>
          <w:b/>
          <w:bCs/>
          <w:lang w:val="en-US" w:eastAsia="ja-JP"/>
        </w:rPr>
        <w:t>3GPP T</w:t>
      </w:r>
      <w:r w:rsidR="007B2C47" w:rsidRPr="007B2C47">
        <w:rPr>
          <w:rFonts w:ascii="Arial" w:hAnsi="Arial" w:cs="Arial" w:hint="eastAsia"/>
          <w:b/>
          <w:bCs/>
          <w:lang w:val="en-US" w:eastAsia="ja-JP"/>
        </w:rPr>
        <w:t>S 23.482 V0.2.0</w:t>
      </w:r>
    </w:p>
    <w:p w14:paraId="4348F67C" w14:textId="3D09219E" w:rsidR="00CD2478" w:rsidRPr="00C524DD" w:rsidRDefault="00CD2478" w:rsidP="00CD2478">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7B2C47">
        <w:rPr>
          <w:rFonts w:ascii="Arial" w:hAnsi="Arial" w:cs="Arial" w:hint="eastAsia"/>
          <w:b/>
          <w:bCs/>
          <w:lang w:eastAsia="ja-JP"/>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C0C29D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447AB">
        <w:rPr>
          <w:rFonts w:ascii="Arial" w:hAnsi="Arial" w:cs="Arial" w:hint="eastAsia"/>
          <w:b/>
          <w:bCs/>
          <w:lang w:eastAsia="ja-JP"/>
        </w:rPr>
        <w:t>yuushin.hayashi.ew@nttdocomo.com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7DF2EB2" w:rsidR="00CD2478" w:rsidRPr="00C22BE3" w:rsidRDefault="00C22BE3" w:rsidP="00C22BE3">
      <w:pPr>
        <w:pStyle w:val="CRCoverPage"/>
        <w:rPr>
          <w:rFonts w:ascii="Times New Roman" w:hAnsi="Times New Roman" w:hint="eastAsia"/>
          <w:noProof/>
          <w:lang w:val="en-US" w:eastAsia="ja-JP"/>
        </w:rPr>
      </w:pPr>
      <w:r w:rsidRPr="00EB692C">
        <w:rPr>
          <w:rFonts w:ascii="Times New Roman" w:hAnsi="Times New Roman"/>
          <w:noProof/>
          <w:lang w:val="en-US"/>
        </w:rPr>
        <w:t>This contribution corrects incorrect t</w:t>
      </w:r>
      <w:r>
        <w:rPr>
          <w:rFonts w:ascii="Times New Roman" w:hAnsi="Times New Roman" w:hint="eastAsia"/>
          <w:noProof/>
          <w:lang w:val="en-US" w:eastAsia="ja-JP"/>
        </w:rPr>
        <w:t xml:space="preserve">ext </w:t>
      </w:r>
      <w:r w:rsidRPr="00F5006A">
        <w:rPr>
          <w:rFonts w:ascii="Times New Roman" w:hAnsi="Times New Roman"/>
          <w:noProof/>
        </w:rPr>
        <w:t xml:space="preserve">in section </w:t>
      </w:r>
      <w:r w:rsidR="00F275B5">
        <w:rPr>
          <w:rFonts w:ascii="Times New Roman" w:hAnsi="Times New Roman" w:hint="eastAsia"/>
          <w:noProof/>
          <w:lang w:eastAsia="ja-JP"/>
        </w:rPr>
        <w:t>8.9.2.1</w:t>
      </w:r>
      <w:r>
        <w:rPr>
          <w:rFonts w:ascii="Times New Roman" w:hAnsi="Times New Roman" w:hint="eastAsia"/>
          <w:noProof/>
          <w:lang w:eastAsia="ja-JP"/>
        </w:rPr>
        <w:t xml:space="preserve"> and </w:t>
      </w:r>
      <w:r w:rsidR="00F275B5">
        <w:rPr>
          <w:rFonts w:ascii="Times New Roman" w:hAnsi="Times New Roman" w:hint="eastAsia"/>
          <w:noProof/>
          <w:lang w:eastAsia="ja-JP"/>
        </w:rPr>
        <w:t>8.12.2</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923315F" w14:textId="3EAB6D98" w:rsidR="00C22BE3" w:rsidRPr="00C75BFF" w:rsidRDefault="00F275B5" w:rsidP="00C22BE3">
      <w:pPr>
        <w:pStyle w:val="CRCoverPage"/>
        <w:rPr>
          <w:rFonts w:ascii="Times New Roman" w:hAnsi="Times New Roman"/>
          <w:noProof/>
          <w:lang w:eastAsia="ja-JP"/>
        </w:rPr>
      </w:pPr>
      <w:r w:rsidRPr="00F275B5">
        <w:rPr>
          <w:rFonts w:ascii="Times New Roman" w:hAnsi="Times New Roman"/>
          <w:noProof/>
          <w:lang w:eastAsia="ja-JP"/>
        </w:rPr>
        <w:t>This addition corrects the inclusion of the third-person singular "s" in 8.9.2.1 and changes "fail" to "failure" in 8.12.2.</w:t>
      </w:r>
    </w:p>
    <w:p w14:paraId="1AD024AF" w14:textId="75EAA1BA" w:rsidR="00CD2478" w:rsidRPr="00215ABA" w:rsidRDefault="00CD2478" w:rsidP="00CD2478">
      <w:pPr>
        <w:pStyle w:val="CRCoverPage"/>
        <w:rPr>
          <w:b/>
          <w:noProof/>
        </w:rPr>
      </w:pPr>
      <w:r w:rsidRPr="00215ABA">
        <w:rPr>
          <w:b/>
          <w:noProof/>
        </w:rPr>
        <w:t>3. Proposal</w:t>
      </w:r>
    </w:p>
    <w:p w14:paraId="4C5BE028" w14:textId="737F4448" w:rsidR="00892B19" w:rsidRPr="008A5E86" w:rsidRDefault="00892B19" w:rsidP="00892B19">
      <w:pPr>
        <w:rPr>
          <w:noProof/>
          <w:lang w:val="en-US" w:eastAsia="ja-JP"/>
        </w:rPr>
      </w:pPr>
      <w:r w:rsidRPr="00D658A3">
        <w:rPr>
          <w:noProof/>
          <w:lang w:val="en-US"/>
        </w:rPr>
        <w:t>It is proposed to agree the following changes to 3GPP T</w:t>
      </w:r>
      <w:r w:rsidR="007B2C47">
        <w:rPr>
          <w:rFonts w:hint="eastAsia"/>
          <w:noProof/>
          <w:lang w:val="en-US" w:eastAsia="ja-JP"/>
        </w:rPr>
        <w:t>S</w:t>
      </w:r>
      <w:r>
        <w:rPr>
          <w:rFonts w:hint="eastAsia"/>
          <w:noProof/>
          <w:lang w:val="en-US" w:eastAsia="ja-JP"/>
        </w:rPr>
        <w:t xml:space="preserve"> 23.</w:t>
      </w:r>
      <w:r w:rsidR="007B2C47">
        <w:rPr>
          <w:rFonts w:hint="eastAsia"/>
          <w:noProof/>
          <w:lang w:val="en-US" w:eastAsia="ja-JP"/>
        </w:rPr>
        <w:t>482</w:t>
      </w:r>
      <w:r>
        <w:rPr>
          <w:rFonts w:hint="eastAsia"/>
          <w:noProof/>
          <w:lang w:val="en-US" w:eastAsia="ja-JP"/>
        </w:rPr>
        <w:t xml:space="preserve"> </w:t>
      </w:r>
      <w:r w:rsidR="007B2C47">
        <w:rPr>
          <w:rFonts w:hint="eastAsia"/>
          <w:noProof/>
          <w:lang w:val="en-US" w:eastAsia="ja-JP"/>
        </w:rPr>
        <w:t>V0</w:t>
      </w:r>
      <w:r>
        <w:rPr>
          <w:rFonts w:hint="eastAsia"/>
          <w:noProof/>
          <w:lang w:val="en-US" w:eastAsia="ja-JP"/>
        </w:rPr>
        <w:t>.</w:t>
      </w:r>
      <w:r w:rsidR="007B2C47">
        <w:rPr>
          <w:rFonts w:hint="eastAsia"/>
          <w:noProof/>
          <w:lang w:val="en-US" w:eastAsia="ja-JP"/>
        </w:rPr>
        <w:t>2</w:t>
      </w:r>
      <w:r>
        <w:rPr>
          <w:rFonts w:hint="eastAsia"/>
          <w:noProof/>
          <w:lang w:val="en-US" w:eastAsia="ja-JP"/>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9DF9085" w14:textId="77777777" w:rsidR="00F275B5" w:rsidRDefault="00F275B5" w:rsidP="00F275B5">
      <w:pPr>
        <w:pStyle w:val="4"/>
        <w:rPr>
          <w:noProof/>
          <w:lang w:val="en-US"/>
        </w:rPr>
      </w:pPr>
      <w:bookmarkStart w:id="0" w:name="_Toc169039336"/>
      <w:bookmarkStart w:id="1" w:name="_Toc167720582"/>
      <w:bookmarkStart w:id="2" w:name="_Toc23130"/>
      <w:bookmarkStart w:id="3" w:name="_Toc21346"/>
      <w:bookmarkStart w:id="4" w:name="_Toc176172233"/>
      <w:bookmarkStart w:id="5" w:name="_Toc175663308"/>
      <w:r>
        <w:rPr>
          <w:lang w:eastAsia="zh-CN"/>
        </w:rPr>
        <w:t>8.9.2.1</w:t>
      </w:r>
      <w:r>
        <w:rPr>
          <w:lang w:eastAsia="zh-CN"/>
        </w:rPr>
        <w:tab/>
        <w:t>AIMLE client selection</w:t>
      </w:r>
      <w:bookmarkEnd w:id="5"/>
      <w:r>
        <w:rPr>
          <w:lang w:eastAsia="zh-CN"/>
        </w:rPr>
        <w:t xml:space="preserve"> </w:t>
      </w:r>
    </w:p>
    <w:p w14:paraId="20B8178F" w14:textId="77777777" w:rsidR="00F275B5" w:rsidRDefault="00F275B5" w:rsidP="00F275B5">
      <w:pPr>
        <w:rPr>
          <w:lang w:eastAsia="zh-CN"/>
        </w:rPr>
      </w:pPr>
      <w:r>
        <w:rPr>
          <w:lang w:eastAsia="zh-CN"/>
        </w:rPr>
        <w:t>Pre-conditions:</w:t>
      </w:r>
    </w:p>
    <w:p w14:paraId="516C893D" w14:textId="77777777" w:rsidR="00F275B5" w:rsidRDefault="00F275B5" w:rsidP="00F275B5">
      <w:pPr>
        <w:pStyle w:val="B1"/>
        <w:rPr>
          <w:lang w:eastAsia="zh-CN"/>
        </w:rPr>
      </w:pPr>
      <w:r>
        <w:rPr>
          <w:lang w:eastAsia="zh-CN"/>
        </w:rPr>
        <w:t>1.</w:t>
      </w:r>
      <w:r>
        <w:rPr>
          <w:lang w:eastAsia="zh-CN"/>
        </w:rPr>
        <w:tab/>
      </w:r>
      <w:r>
        <w:rPr>
          <w:lang w:val="en-US" w:eastAsia="zh-CN"/>
        </w:rPr>
        <w:t>AIMLE clients that support AI/ML operations have registered with the AIMLE server and included their AIMLE client profiles and optionally a list of supported services.</w:t>
      </w:r>
    </w:p>
    <w:p w14:paraId="4BD9BD28" w14:textId="77777777" w:rsidR="00F275B5" w:rsidRDefault="00F275B5" w:rsidP="00F275B5">
      <w:pPr>
        <w:pStyle w:val="B1"/>
        <w:rPr>
          <w:lang w:val="en-US" w:eastAsia="zh-CN"/>
        </w:rPr>
      </w:pPr>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a ML repository to obtain</w:t>
      </w:r>
      <w:r>
        <w:rPr>
          <w:lang w:val="en-US" w:eastAsia="zh-CN"/>
        </w:rPr>
        <w:t xml:space="preserve"> AIMLE client profiles and supported services associated with the AIMLE clients.</w:t>
      </w:r>
    </w:p>
    <w:p w14:paraId="7B3A72C2" w14:textId="77777777" w:rsidR="00F275B5" w:rsidRDefault="00F275B5" w:rsidP="00F275B5">
      <w:pPr>
        <w:pStyle w:val="TH"/>
        <w:jc w:val="left"/>
        <w:rPr>
          <w:noProof/>
          <w:lang w:val="en-US"/>
        </w:rPr>
      </w:pPr>
      <w:r>
        <w:object w:dxaOrig="9660" w:dyaOrig="3930" w14:anchorId="0FD718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82.7pt;height:196.4pt" o:ole="">
            <v:imagedata r:id="rId7" o:title=""/>
          </v:shape>
          <o:OLEObject Type="Embed" ProgID="Visio.Drawing.15" ShapeID="_x0000_i1030" DrawAspect="Content" ObjectID="_1789840611" r:id="rId8"/>
        </w:object>
      </w:r>
    </w:p>
    <w:p w14:paraId="0C516468" w14:textId="77777777" w:rsidR="00F275B5" w:rsidRDefault="00F275B5" w:rsidP="00F275B5">
      <w:pPr>
        <w:pStyle w:val="TF"/>
      </w:pPr>
      <w:r>
        <w:t xml:space="preserve">Figure 8.9.2.1-1: AIMLE client selection </w:t>
      </w:r>
    </w:p>
    <w:p w14:paraId="29859ADC" w14:textId="77777777" w:rsidR="00F275B5" w:rsidRDefault="00F275B5" w:rsidP="00F275B5">
      <w:pPr>
        <w:pStyle w:val="B1"/>
        <w:rPr>
          <w:rFonts w:cs="Calibri"/>
          <w:bCs/>
        </w:rPr>
      </w:pPr>
      <w:r>
        <w:rPr>
          <w:lang w:eastAsia="zh-CN"/>
        </w:rPr>
        <w:lastRenderedPageBreak/>
        <w:t>1.</w:t>
      </w:r>
      <w:r>
        <w:rPr>
          <w:lang w:eastAsia="zh-CN"/>
        </w:rPr>
        <w:tab/>
        <w:t xml:space="preserve">A VAL server sends an AIMLE client selection request to an </w:t>
      </w:r>
      <w:r>
        <w:rPr>
          <w:noProof/>
          <w:lang w:val="en-US"/>
        </w:rPr>
        <w:t>AIMLE</w:t>
      </w:r>
      <w:r>
        <w:rPr>
          <w:lang w:eastAsia="zh-CN"/>
        </w:rPr>
        <w:t xml:space="preserve"> server to select </w:t>
      </w:r>
      <w:r>
        <w:rPr>
          <w:noProof/>
          <w:lang w:val="en-US"/>
        </w:rPr>
        <w:t>AIMLE</w:t>
      </w:r>
      <w:r>
        <w:rPr>
          <w:lang w:eastAsia="zh-CN"/>
        </w:rPr>
        <w:t xml:space="preserve"> clients available for participation in AI/ML operations (e.g., is available and have required data to train an ML model)</w:t>
      </w:r>
      <w:r>
        <w:rPr>
          <w:rFonts w:cs="Calibri"/>
          <w:bCs/>
        </w:rPr>
        <w:t xml:space="preserve">. The </w:t>
      </w:r>
      <w:r>
        <w:rPr>
          <w:noProof/>
          <w:lang w:val="en-US"/>
        </w:rPr>
        <w:t>AIMLE</w:t>
      </w:r>
      <w:r>
        <w:rPr>
          <w:lang w:eastAsia="zh-CN"/>
        </w:rPr>
        <w:t xml:space="preserve"> </w:t>
      </w:r>
      <w:r>
        <w:rPr>
          <w:rFonts w:cs="Calibri"/>
          <w:bCs/>
        </w:rPr>
        <w:t>client selection request includes information as described in Table 8.9.3.1-1.</w:t>
      </w:r>
    </w:p>
    <w:p w14:paraId="0592C2CA" w14:textId="77777777" w:rsidR="00F275B5" w:rsidRDefault="00F275B5" w:rsidP="00F275B5">
      <w:pPr>
        <w:pStyle w:val="B1"/>
        <w:rPr>
          <w:lang w:eastAsia="zh-CN"/>
        </w:rPr>
      </w:pPr>
      <w:r>
        <w:rPr>
          <w:lang w:eastAsia="zh-CN"/>
        </w:rPr>
        <w:t>2.</w:t>
      </w:r>
      <w:r>
        <w:rPr>
          <w:lang w:eastAsia="zh-CN"/>
        </w:rPr>
        <w:tab/>
        <w:t xml:space="preserve">The </w:t>
      </w:r>
      <w:r>
        <w:rPr>
          <w:noProof/>
          <w:lang w:val="en-US"/>
        </w:rPr>
        <w:t>AIMLE</w:t>
      </w:r>
      <w:r>
        <w:rPr>
          <w:lang w:eastAsia="zh-CN"/>
        </w:rPr>
        <w:t xml:space="preserve"> server performs authentication and authorization checks to determine if the requestor is able to select AIMLE clients. </w:t>
      </w:r>
    </w:p>
    <w:p w14:paraId="6A478331" w14:textId="77777777" w:rsidR="00F275B5" w:rsidRDefault="00F275B5" w:rsidP="00F275B5">
      <w:pPr>
        <w:pStyle w:val="B1"/>
        <w:rPr>
          <w:lang w:eastAsia="zh-CN"/>
        </w:rPr>
      </w:pPr>
      <w:r>
        <w:rPr>
          <w:lang w:eastAsia="zh-CN"/>
        </w:rPr>
        <w:t>3.</w:t>
      </w:r>
      <w:r>
        <w:rPr>
          <w:lang w:eastAsia="zh-CN"/>
        </w:rPr>
        <w:tab/>
        <w:t>If the requestor is authorized, the AIMLE server performs AIMLE client selection based on the provided inputs as described below.</w:t>
      </w:r>
    </w:p>
    <w:p w14:paraId="5480D766" w14:textId="77777777" w:rsidR="00F275B5" w:rsidRDefault="00F275B5" w:rsidP="00F275B5">
      <w:pPr>
        <w:pStyle w:val="B1"/>
        <w:ind w:firstLine="0"/>
        <w:rPr>
          <w:lang w:eastAsia="en-GB"/>
        </w:rPr>
      </w:pPr>
      <w:r>
        <w:rPr>
          <w:lang w:eastAsia="zh-CN"/>
        </w:rPr>
        <w:t>For VAL server selection</w:t>
      </w:r>
      <w:r>
        <w:rPr>
          <w:lang w:eastAsia="en-GB"/>
        </w:rPr>
        <w:t xml:space="preserve">, the AIMLE server receives a </w:t>
      </w:r>
      <w:r>
        <w:t>list of AIMLE client IDs in the request</w:t>
      </w:r>
      <w:r>
        <w:rPr>
          <w:lang w:eastAsia="en-GB"/>
        </w:rPr>
        <w:t xml:space="preserve"> and selects the AIMLE clients in the list as candidate AIMLE clients. </w:t>
      </w:r>
    </w:p>
    <w:p w14:paraId="6DD453C5" w14:textId="4C2CA189" w:rsidR="00F275B5" w:rsidRDefault="00F275B5" w:rsidP="00F275B5">
      <w:pPr>
        <w:pStyle w:val="B1"/>
        <w:ind w:firstLine="0"/>
        <w:rPr>
          <w:lang w:eastAsia="zh-CN"/>
        </w:rPr>
      </w:pPr>
      <w:r>
        <w:rPr>
          <w:lang w:eastAsia="zh-CN"/>
        </w:rPr>
        <w:t xml:space="preserve">For AIMLE server selection, the AIMLE server retrieves a list of clients with AI/ML capabilities from the ML repository. </w:t>
      </w:r>
      <w:r>
        <w:rPr>
          <w:lang w:eastAsia="en-GB"/>
        </w:rPr>
        <w:t>From the list of clients, the AIMLE server selects a list of candidate</w:t>
      </w:r>
      <w:ins w:id="6" w:author="Yuushin Hayashi [NTT Docomo]" w:date="2024-10-07T21:09:00Z">
        <w:r>
          <w:rPr>
            <w:rFonts w:hint="eastAsia"/>
            <w:lang w:eastAsia="ja-JP"/>
          </w:rPr>
          <w:t>s</w:t>
        </w:r>
      </w:ins>
      <w:r>
        <w:rPr>
          <w:lang w:eastAsia="en-GB"/>
        </w:rPr>
        <w:t xml:space="preserve"> AIMLE clients, whose client profiles fulfil the </w:t>
      </w:r>
      <w:r>
        <w:t>AIMLE client selection criteria</w:t>
      </w:r>
      <w:r>
        <w:rPr>
          <w:lang w:eastAsia="en-GB"/>
        </w:rPr>
        <w:t>.</w:t>
      </w:r>
    </w:p>
    <w:p w14:paraId="059EA61B" w14:textId="77777777" w:rsidR="00F275B5" w:rsidRDefault="00F275B5" w:rsidP="00F275B5">
      <w:pPr>
        <w:pStyle w:val="B1"/>
        <w:ind w:firstLine="0"/>
        <w:rPr>
          <w:lang w:eastAsia="en-GB"/>
        </w:rPr>
      </w:pPr>
      <w:r>
        <w:rPr>
          <w:lang w:eastAsia="en-GB"/>
        </w:rPr>
        <w:t>The AIMLE server may then determine the QoS parameters for the AIML traffic session between the requestor and the candidate AIMLE client(s) and configure the AI/ML traffic session(s) via SEALDD (</w:t>
      </w:r>
      <w:proofErr w:type="spellStart"/>
      <w:r>
        <w:rPr>
          <w:lang w:eastAsia="en-GB"/>
        </w:rPr>
        <w:t>Sdd_RegularTransmission</w:t>
      </w:r>
      <w:proofErr w:type="spellEnd"/>
      <w:r>
        <w:rPr>
          <w:lang w:eastAsia="en-GB"/>
        </w:rPr>
        <w:t xml:space="preserve"> API) or NEF services (</w:t>
      </w:r>
      <w:proofErr w:type="spellStart"/>
      <w:r>
        <w:rPr>
          <w:lang w:eastAsia="en-GB"/>
        </w:rPr>
        <w:t>AfSessionWithQoS</w:t>
      </w:r>
      <w:proofErr w:type="spellEnd"/>
      <w:r>
        <w:rPr>
          <w:lang w:eastAsia="en-GB"/>
        </w:rPr>
        <w:t xml:space="preserve"> API).</w:t>
      </w:r>
    </w:p>
    <w:p w14:paraId="3256FEE6" w14:textId="77777777" w:rsidR="00F275B5" w:rsidRDefault="00F275B5" w:rsidP="00F275B5">
      <w:pPr>
        <w:pStyle w:val="NO"/>
        <w:rPr>
          <w:lang w:eastAsia="zh-CN"/>
        </w:rPr>
      </w:pPr>
      <w:r>
        <w:t>NOTE 1:</w:t>
      </w:r>
      <w:r>
        <w:tab/>
        <w:t xml:space="preserve">If the available </w:t>
      </w:r>
      <w:r>
        <w:rPr>
          <w:rFonts w:cs="Calibri"/>
          <w:bCs/>
        </w:rPr>
        <w:t xml:space="preserve">AIMLE clients </w:t>
      </w:r>
      <w:r>
        <w:t xml:space="preserve">(as determined by the AIMLE server) that fulfil discovery criteria are less than the required minimum number of </w:t>
      </w:r>
      <w:r>
        <w:rPr>
          <w:rFonts w:cs="Calibri"/>
          <w:bCs/>
        </w:rPr>
        <w:t>AIMLE clients for AI/ML operation (e.g., split AI/ML)</w:t>
      </w:r>
      <w:r>
        <w:t xml:space="preserve">, then the </w:t>
      </w:r>
      <w:r>
        <w:rPr>
          <w:noProof/>
          <w:lang w:val="en-US"/>
        </w:rPr>
        <w:t>AIMLE</w:t>
      </w:r>
      <w:r>
        <w:rPr>
          <w:lang w:eastAsia="zh-CN"/>
        </w:rPr>
        <w:t xml:space="preserve"> server </w:t>
      </w:r>
      <w:r>
        <w:t xml:space="preserve">can discover the remaining required </w:t>
      </w:r>
      <w:r>
        <w:rPr>
          <w:rFonts w:cs="Calibri"/>
          <w:bCs/>
        </w:rPr>
        <w:t xml:space="preserve">AIMLE clients </w:t>
      </w:r>
      <w:r>
        <w:t xml:space="preserve">from other </w:t>
      </w:r>
      <w:r>
        <w:rPr>
          <w:noProof/>
          <w:lang w:val="en-US"/>
        </w:rPr>
        <w:t>AIMLE</w:t>
      </w:r>
      <w:r>
        <w:rPr>
          <w:lang w:eastAsia="zh-CN"/>
        </w:rPr>
        <w:t xml:space="preserve"> servers over AIML-E reference point and include them in the response message.</w:t>
      </w:r>
    </w:p>
    <w:p w14:paraId="4E7D9405" w14:textId="77777777" w:rsidR="00F275B5" w:rsidRDefault="00F275B5" w:rsidP="00F275B5">
      <w:pPr>
        <w:pStyle w:val="NO"/>
      </w:pPr>
      <w:r>
        <w:t>NOTE 2: The AIMLE server can reuse SEAL group management for any necessary group management.</w:t>
      </w:r>
    </w:p>
    <w:p w14:paraId="42A4752F" w14:textId="77777777" w:rsidR="00F275B5" w:rsidRDefault="00F275B5" w:rsidP="00F275B5">
      <w:pPr>
        <w:pStyle w:val="EditorsNote"/>
      </w:pPr>
      <w:r>
        <w:t>Editor’s Note: Whether and how the AIMLE server determines the QoS parameters is FFS.</w:t>
      </w:r>
    </w:p>
    <w:p w14:paraId="3A305F18" w14:textId="77777777" w:rsidR="00F275B5" w:rsidRDefault="00F275B5" w:rsidP="00F275B5">
      <w:pPr>
        <w:pStyle w:val="B1"/>
        <w:rPr>
          <w:lang w:eastAsia="zh-CN"/>
        </w:rPr>
      </w:pPr>
      <w:r>
        <w:rPr>
          <w:lang w:eastAsia="zh-CN"/>
        </w:rPr>
        <w:t>4.</w:t>
      </w:r>
      <w:r>
        <w:rPr>
          <w:lang w:eastAsia="zh-CN"/>
        </w:rPr>
        <w:tab/>
        <w:t xml:space="preserve">The AIMLE server performs AIMLE client participation procedure with each candidate AIMLE client </w:t>
      </w:r>
      <w:r>
        <w:rPr>
          <w:rFonts w:cs="Calibri"/>
          <w:bCs/>
        </w:rPr>
        <w:t xml:space="preserve">as described in clause 8.10. </w:t>
      </w:r>
      <w:r>
        <w:rPr>
          <w:lang w:eastAsia="en-GB"/>
        </w:rPr>
        <w:t xml:space="preserve">For all candidate AIMLE clients that agreed to participate in AI/ML operations, the AIMLE server </w:t>
      </w:r>
      <w:r>
        <w:t>selects the AIMLE clients</w:t>
      </w:r>
      <w:r>
        <w:rPr>
          <w:lang w:eastAsia="en-GB"/>
        </w:rPr>
        <w:t xml:space="preserve"> and assigns an </w:t>
      </w:r>
      <w:r>
        <w:t>AIMLE client set identifier for the selected clients. The AIMLE client set identifier may then be used for training a ML model.</w:t>
      </w:r>
    </w:p>
    <w:p w14:paraId="536AFF7D" w14:textId="580695F5" w:rsidR="00C22BE3" w:rsidRPr="00C22BE3" w:rsidRDefault="00C22BE3" w:rsidP="00C22B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Next</w:t>
      </w:r>
      <w:r w:rsidRPr="00215ABA">
        <w:rPr>
          <w:rFonts w:ascii="Arial" w:hAnsi="Arial" w:cs="Arial"/>
          <w:noProof/>
          <w:color w:val="0000FF"/>
          <w:sz w:val="28"/>
          <w:szCs w:val="28"/>
        </w:rPr>
        <w:t xml:space="preserve"> Change * * * *</w:t>
      </w:r>
    </w:p>
    <w:bookmarkEnd w:id="0"/>
    <w:bookmarkEnd w:id="1"/>
    <w:bookmarkEnd w:id="2"/>
    <w:bookmarkEnd w:id="3"/>
    <w:bookmarkEnd w:id="4"/>
    <w:p w14:paraId="608E0792" w14:textId="77777777" w:rsidR="00F275B5" w:rsidRDefault="00C22BE3" w:rsidP="00F275B5">
      <w:pPr>
        <w:pStyle w:val="3"/>
        <w:rPr>
          <w:lang w:val="en-IN"/>
        </w:rPr>
      </w:pPr>
      <w:r>
        <w:rPr>
          <w:rFonts w:eastAsia="SimSun" w:hint="eastAsia"/>
          <w:lang w:val="en-US" w:eastAsia="zh-CN"/>
        </w:rPr>
        <w:t>-</w:t>
      </w:r>
      <w:bookmarkStart w:id="7" w:name="_Toc175663330"/>
      <w:r w:rsidR="00F275B5">
        <w:rPr>
          <w:rFonts w:eastAsia="SimSun"/>
          <w:lang w:val="en-US" w:eastAsia="zh-CN"/>
        </w:rPr>
        <w:t>8</w:t>
      </w:r>
      <w:r w:rsidR="00F275B5">
        <w:rPr>
          <w:lang w:val="en-IN"/>
        </w:rPr>
        <w:t>.12.</w:t>
      </w:r>
      <w:r w:rsidR="00F275B5">
        <w:rPr>
          <w:rFonts w:eastAsia="SimSun"/>
          <w:lang w:val="en-US" w:eastAsia="zh-CN"/>
        </w:rPr>
        <w:t>2</w:t>
      </w:r>
      <w:r w:rsidR="00F275B5">
        <w:rPr>
          <w:lang w:val="en-IN"/>
        </w:rPr>
        <w:tab/>
        <w:t>Procedure</w:t>
      </w:r>
      <w:bookmarkEnd w:id="7"/>
    </w:p>
    <w:p w14:paraId="43C55B28" w14:textId="77777777" w:rsidR="00F275B5" w:rsidRDefault="00F275B5" w:rsidP="00F275B5">
      <w:pPr>
        <w:rPr>
          <w:lang w:eastAsia="zh-CN"/>
        </w:rPr>
      </w:pPr>
      <w:r>
        <w:rPr>
          <w:lang w:eastAsia="zh-CN"/>
        </w:rPr>
        <w:t>Pre-conditions:</w:t>
      </w:r>
    </w:p>
    <w:p w14:paraId="0546F5AF" w14:textId="77777777" w:rsidR="00F275B5" w:rsidRDefault="00F275B5" w:rsidP="00F275B5">
      <w:pPr>
        <w:pStyle w:val="B1"/>
        <w:numPr>
          <w:ilvl w:val="0"/>
          <w:numId w:val="1"/>
        </w:numPr>
        <w:rPr>
          <w:lang w:eastAsia="zh-CN"/>
        </w:rPr>
      </w:pPr>
      <w:r>
        <w:rPr>
          <w:lang w:eastAsia="zh-CN"/>
        </w:rPr>
        <w:t>AIMLE client discovery and selection have been performed.</w:t>
      </w:r>
    </w:p>
    <w:p w14:paraId="0E4C007C" w14:textId="77777777" w:rsidR="00F275B5" w:rsidRDefault="00F275B5" w:rsidP="00F275B5">
      <w:pPr>
        <w:pStyle w:val="B1"/>
        <w:numPr>
          <w:ilvl w:val="0"/>
          <w:numId w:val="1"/>
        </w:numPr>
        <w:rPr>
          <w:lang w:eastAsia="zh-CN"/>
        </w:rPr>
      </w:pPr>
      <w:r>
        <w:rPr>
          <w:lang w:eastAsia="zh-CN"/>
        </w:rPr>
        <w:t>Datasets are available and prepared for AI/ML training at the AIMLE clients.</w:t>
      </w:r>
    </w:p>
    <w:p w14:paraId="14BB5A95" w14:textId="77777777" w:rsidR="00F275B5" w:rsidRDefault="00F275B5" w:rsidP="00F275B5">
      <w:pPr>
        <w:pStyle w:val="TH"/>
      </w:pPr>
      <w:r>
        <w:object w:dxaOrig="8535" w:dyaOrig="6570" w14:anchorId="56D911D5">
          <v:shape id="_x0000_i1032" type="#_x0000_t75" style="width:427.4pt;height:328.9pt" o:ole="">
            <v:imagedata r:id="rId9" o:title=""/>
          </v:shape>
          <o:OLEObject Type="Embed" ProgID="Visio.Drawing.15" ShapeID="_x0000_i1032" DrawAspect="Content" ObjectID="_1789840612" r:id="rId10"/>
        </w:object>
      </w:r>
      <w:r>
        <w:t xml:space="preserve"> </w:t>
      </w:r>
    </w:p>
    <w:p w14:paraId="728ECF2E" w14:textId="77777777" w:rsidR="00F275B5" w:rsidRDefault="00F275B5" w:rsidP="00F275B5">
      <w:pPr>
        <w:pStyle w:val="TF"/>
      </w:pPr>
      <w:r>
        <w:t xml:space="preserve">Figure 8.12.2-1: HFL training </w:t>
      </w:r>
    </w:p>
    <w:p w14:paraId="6BAF1BBB" w14:textId="77777777" w:rsidR="00F275B5" w:rsidRDefault="00F275B5" w:rsidP="00F275B5">
      <w:pPr>
        <w:pStyle w:val="B1"/>
        <w:numPr>
          <w:ilvl w:val="1"/>
          <w:numId w:val="2"/>
        </w:numPr>
        <w:ind w:left="567" w:hanging="283"/>
      </w:pPr>
      <w:r>
        <w:t xml:space="preserve">An AIMLE server receives an ML model training request from a VAL server as described in clause 8.3.2. </w:t>
      </w:r>
      <w:r>
        <w:rPr>
          <w:lang w:eastAsia="zh-CN"/>
        </w:rPr>
        <w:t>If the AIMLE server determines to use HFL training, the procedure continues to step 2.</w:t>
      </w:r>
    </w:p>
    <w:p w14:paraId="37C7D73C" w14:textId="77777777" w:rsidR="00F275B5" w:rsidRDefault="00F275B5" w:rsidP="00F275B5">
      <w:pPr>
        <w:pStyle w:val="B1"/>
        <w:numPr>
          <w:ilvl w:val="1"/>
          <w:numId w:val="2"/>
        </w:numPr>
        <w:ind w:left="567" w:hanging="283"/>
      </w:pPr>
      <w:r>
        <w:t>The AIMLE server retrieves the indicated ML model using the ML model retrieval procedure as described in clause 8.1.</w:t>
      </w:r>
    </w:p>
    <w:p w14:paraId="0898EDD8" w14:textId="77777777" w:rsidR="00F275B5" w:rsidRDefault="00F275B5" w:rsidP="00F275B5">
      <w:pPr>
        <w:pStyle w:val="B1"/>
        <w:numPr>
          <w:ilvl w:val="1"/>
          <w:numId w:val="2"/>
        </w:numPr>
        <w:ind w:left="567" w:hanging="283"/>
      </w:pPr>
      <w:r>
        <w:t>At the beginning of a training round, the AIMLE server performs AIMLE client selection using the AIMLE client selection criteria or a list of AIMLE clients provided in step 1. If AIMLE client selection criteria are provided in step 1, the AIMLE server continuously monitors and selects AIMLE clients for the HFL training. If a list of AIMLE clients is provided in step 1, the AIMLE server selects the provided AIMLE clients for the HFL training.</w:t>
      </w:r>
    </w:p>
    <w:p w14:paraId="6DE93129" w14:textId="77777777" w:rsidR="00F275B5" w:rsidRDefault="00F275B5" w:rsidP="00F275B5">
      <w:pPr>
        <w:pStyle w:val="B1"/>
        <w:numPr>
          <w:ilvl w:val="1"/>
          <w:numId w:val="2"/>
        </w:numPr>
        <w:ind w:left="567" w:hanging="283"/>
      </w:pPr>
      <w:r>
        <w:t>The AIMLE server configures training schedule for each of the AIMLE client and sends a HFL training subscription request with information as described</w:t>
      </w:r>
      <w:r>
        <w:rPr>
          <w:lang w:eastAsia="zh-CN"/>
        </w:rPr>
        <w:t xml:space="preserve"> in Table 8.12.3.1-1</w:t>
      </w:r>
      <w:r>
        <w:t>.</w:t>
      </w:r>
    </w:p>
    <w:p w14:paraId="260FECDB" w14:textId="65B82301" w:rsidR="00F275B5" w:rsidRDefault="00F275B5" w:rsidP="00F275B5">
      <w:pPr>
        <w:pStyle w:val="B1"/>
        <w:numPr>
          <w:ilvl w:val="1"/>
          <w:numId w:val="2"/>
        </w:numPr>
        <w:ind w:left="567" w:hanging="283"/>
      </w:pPr>
      <w:r>
        <w:t xml:space="preserve">Each </w:t>
      </w:r>
      <w:r>
        <w:rPr>
          <w:lang w:eastAsia="zh-CN"/>
        </w:rPr>
        <w:t>AIMLE client sends a HFL training subscription response with information as described in Table 8.12.3.2-2. If the AIMLE client is not able to grant the subscription (e.g., is not able to perform the training), the AIMLE client sends a response with a fail</w:t>
      </w:r>
      <w:ins w:id="8" w:author="Yuushin Hayashi [NTT Docomo]" w:date="2024-10-07T21:10:00Z">
        <w:r>
          <w:rPr>
            <w:rFonts w:hint="eastAsia"/>
            <w:lang w:eastAsia="ja-JP"/>
          </w:rPr>
          <w:t>ure</w:t>
        </w:r>
      </w:ins>
      <w:r>
        <w:rPr>
          <w:lang w:eastAsia="zh-CN"/>
        </w:rPr>
        <w:t xml:space="preserve"> status and the procedure skips to step 7.</w:t>
      </w:r>
    </w:p>
    <w:p w14:paraId="4BFE43E2" w14:textId="77777777" w:rsidR="00F275B5" w:rsidRDefault="00F275B5" w:rsidP="00F275B5">
      <w:pPr>
        <w:pStyle w:val="B1"/>
        <w:numPr>
          <w:ilvl w:val="1"/>
          <w:numId w:val="2"/>
        </w:numPr>
        <w:ind w:left="567" w:hanging="283"/>
      </w:pPr>
      <w:r>
        <w:t>Each AIMLE client performs local training using the configured AI/ML model, model parameters, and the prepared local data associated with the dataset identifier for the specified number of samples according to the operational schedule.</w:t>
      </w:r>
    </w:p>
    <w:p w14:paraId="747F0306" w14:textId="77777777" w:rsidR="00F275B5" w:rsidRDefault="00F275B5" w:rsidP="00F275B5">
      <w:pPr>
        <w:pStyle w:val="B1"/>
        <w:numPr>
          <w:ilvl w:val="1"/>
          <w:numId w:val="2"/>
        </w:numPr>
        <w:ind w:left="567" w:hanging="283"/>
      </w:pPr>
      <w:r>
        <w:t xml:space="preserve">Upon completion or due to errors in the training, each AIMLE client sends a HFL training notification to the AIMLE server. The notification includes </w:t>
      </w:r>
      <w:r>
        <w:rPr>
          <w:lang w:eastAsia="zh-CN"/>
        </w:rPr>
        <w:t>information as described in Table 8.12.3.1-3. The AIMLE client provides an AIMLE service ID for the HFL training operation.</w:t>
      </w:r>
    </w:p>
    <w:p w14:paraId="47A3F9C9" w14:textId="77777777" w:rsidR="00F275B5" w:rsidRDefault="00F275B5" w:rsidP="00F275B5">
      <w:pPr>
        <w:pStyle w:val="B1"/>
        <w:numPr>
          <w:ilvl w:val="1"/>
          <w:numId w:val="2"/>
        </w:numPr>
        <w:ind w:left="567" w:hanging="283"/>
      </w:pPr>
      <w:r>
        <w:t xml:space="preserve">If errors were encountered, the procedure skips to step 8. </w:t>
      </w:r>
    </w:p>
    <w:p w14:paraId="78B2708E" w14:textId="77777777" w:rsidR="00F275B5" w:rsidRDefault="00F275B5" w:rsidP="00F275B5">
      <w:pPr>
        <w:pStyle w:val="B1"/>
        <w:ind w:left="567" w:firstLine="0"/>
      </w:pPr>
      <w:r>
        <w:t>If training was successful, the AIMLE server aggregates (e.g. averages) the model parameters received from the AIMLE clients.</w:t>
      </w:r>
    </w:p>
    <w:p w14:paraId="7094DDEF" w14:textId="77777777" w:rsidR="00F275B5" w:rsidRDefault="00F275B5" w:rsidP="00F275B5">
      <w:pPr>
        <w:pStyle w:val="B1"/>
        <w:ind w:left="567" w:firstLine="0"/>
      </w:pPr>
      <w:r>
        <w:lastRenderedPageBreak/>
        <w:t>If the training schedule is not complete (e.g., there are remaining training rounds), the AIMLE server configures the next set of training schedules and steps 3 to 7 are repeated for the next training round.</w:t>
      </w:r>
    </w:p>
    <w:p w14:paraId="1A131ED3" w14:textId="77777777" w:rsidR="00F275B5" w:rsidRDefault="00F275B5" w:rsidP="00F275B5">
      <w:pPr>
        <w:pStyle w:val="B1"/>
        <w:ind w:left="567" w:firstLine="0"/>
      </w:pPr>
      <w:r>
        <w:t xml:space="preserve">When the training schedule has been exhausted (e.g. there are no remaining training round) and if configured, the AIMLE server makes a ML model information storage request as described in clause 8.11.2 to store the AI/ML model in the ML repository. </w:t>
      </w:r>
    </w:p>
    <w:p w14:paraId="6A924803" w14:textId="77777777" w:rsidR="00F275B5" w:rsidRDefault="00F275B5" w:rsidP="00F275B5">
      <w:pPr>
        <w:pStyle w:val="B1"/>
        <w:numPr>
          <w:ilvl w:val="1"/>
          <w:numId w:val="2"/>
        </w:numPr>
        <w:ind w:left="567" w:hanging="283"/>
      </w:pPr>
      <w:r>
        <w:t xml:space="preserve">The AIMLE server sends a ML model training notification to the VAL server as described in clause 8.3.2. </w:t>
      </w:r>
    </w:p>
    <w:p w14:paraId="554E5401" w14:textId="643BA3D0" w:rsidR="00C22BE3" w:rsidRPr="00F275B5" w:rsidRDefault="00F275B5" w:rsidP="00F275B5">
      <w:pPr>
        <w:rPr>
          <w:rFonts w:hint="eastAsia"/>
          <w:lang w:val="en-US" w:eastAsia="ja-JP"/>
        </w:rPr>
      </w:pPr>
      <w:r>
        <w:rPr>
          <w:lang w:val="en-IN"/>
        </w:rPr>
        <w:t>Editor’s Note: The description of the procedure will be further discussed and possibly reformatted.</w:t>
      </w:r>
    </w:p>
    <w:p w14:paraId="6B38AD88" w14:textId="0BDED930" w:rsidR="00C21836" w:rsidRPr="00655FC1" w:rsidRDefault="00C21836" w:rsidP="00655F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ja-JP"/>
        </w:rPr>
      </w:pPr>
      <w:r w:rsidRPr="00C21836">
        <w:rPr>
          <w:rFonts w:ascii="Arial" w:hAnsi="Arial" w:cs="Arial"/>
          <w:noProof/>
          <w:color w:val="0000FF"/>
          <w:sz w:val="28"/>
          <w:szCs w:val="28"/>
          <w:lang w:val="en-US"/>
        </w:rPr>
        <w:t xml:space="preserve">* * * </w:t>
      </w:r>
      <w:r w:rsidR="00655FC1">
        <w:rPr>
          <w:rFonts w:ascii="Arial" w:hAnsi="Arial" w:cs="Arial" w:hint="eastAsia"/>
          <w:noProof/>
          <w:color w:val="0000FF"/>
          <w:sz w:val="28"/>
          <w:szCs w:val="28"/>
          <w:lang w:val="en-US" w:eastAsia="ja-JP"/>
        </w:rPr>
        <w:t>End of</w:t>
      </w:r>
      <w:r w:rsidRPr="00C21836">
        <w:rPr>
          <w:rFonts w:ascii="Arial" w:hAnsi="Arial" w:cs="Arial"/>
          <w:noProof/>
          <w:color w:val="0000FF"/>
          <w:sz w:val="28"/>
          <w:szCs w:val="28"/>
          <w:lang w:val="en-US"/>
        </w:rPr>
        <w:t xml:space="preserve"> Change</w:t>
      </w:r>
      <w:r w:rsidR="00C22BE3">
        <w:rPr>
          <w:rFonts w:ascii="Arial" w:hAnsi="Arial" w:cs="Arial" w:hint="eastAsia"/>
          <w:noProof/>
          <w:color w:val="0000FF"/>
          <w:sz w:val="28"/>
          <w:szCs w:val="28"/>
          <w:lang w:val="en-US" w:eastAsia="ja-JP"/>
        </w:rPr>
        <w:t>s</w:t>
      </w:r>
      <w:r w:rsidRPr="00C21836">
        <w:rPr>
          <w:rFonts w:ascii="Arial" w:hAnsi="Arial" w:cs="Arial"/>
          <w:noProof/>
          <w:color w:val="0000FF"/>
          <w:sz w:val="28"/>
          <w:szCs w:val="28"/>
          <w:lang w:val="en-US"/>
        </w:rPr>
        <w:t xml:space="preserve"> * * * *</w:t>
      </w:r>
    </w:p>
    <w:sectPr w:rsidR="00C21836" w:rsidRPr="00655FC1">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444CF0" w14:textId="77777777" w:rsidR="00C31550" w:rsidRDefault="00C31550">
      <w:r>
        <w:separator/>
      </w:r>
    </w:p>
  </w:endnote>
  <w:endnote w:type="continuationSeparator" w:id="0">
    <w:p w14:paraId="40F03E33" w14:textId="77777777" w:rsidR="00C31550" w:rsidRDefault="00C31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DA4FF2" w14:textId="77777777" w:rsidR="00C31550" w:rsidRDefault="00C31550">
      <w:r>
        <w:separator/>
      </w:r>
    </w:p>
  </w:footnote>
  <w:footnote w:type="continuationSeparator" w:id="0">
    <w:p w14:paraId="05C75737" w14:textId="77777777" w:rsidR="00C31550" w:rsidRDefault="00C315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2B81418"/>
    <w:multiLevelType w:val="hybridMultilevel"/>
    <w:tmpl w:val="F1AE39F6"/>
    <w:lvl w:ilvl="0" w:tplc="53AC78D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619900A2"/>
    <w:multiLevelType w:val="hybridMultilevel"/>
    <w:tmpl w:val="E9142186"/>
    <w:lvl w:ilvl="0" w:tplc="FFFFFFFF">
      <w:start w:val="1"/>
      <w:numFmt w:val="decimal"/>
      <w:lvlText w:val="%1."/>
      <w:lvlJc w:val="left"/>
      <w:pPr>
        <w:ind w:left="2084" w:hanging="360"/>
      </w:pPr>
    </w:lvl>
    <w:lvl w:ilvl="1" w:tplc="0409000F">
      <w:start w:val="1"/>
      <w:numFmt w:val="decimal"/>
      <w:lvlText w:val="%2."/>
      <w:lvlJc w:val="left"/>
      <w:pPr>
        <w:ind w:left="928"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num w:numId="1" w16cid:durableId="20510336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42730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ushin Hayashi [NTT Docomo]">
    <w15:presenceInfo w15:providerId="None" w15:userId="Yuushin Hayashi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777E0"/>
    <w:rsid w:val="00091508"/>
    <w:rsid w:val="000928D3"/>
    <w:rsid w:val="000A1C77"/>
    <w:rsid w:val="000A5BBF"/>
    <w:rsid w:val="000B6310"/>
    <w:rsid w:val="000C6598"/>
    <w:rsid w:val="000D793E"/>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37CA6"/>
    <w:rsid w:val="00247FAF"/>
    <w:rsid w:val="00262BAD"/>
    <w:rsid w:val="002634BB"/>
    <w:rsid w:val="00275D12"/>
    <w:rsid w:val="00297FD0"/>
    <w:rsid w:val="002A0C35"/>
    <w:rsid w:val="002A412E"/>
    <w:rsid w:val="002B1F0E"/>
    <w:rsid w:val="002B38EA"/>
    <w:rsid w:val="002B7931"/>
    <w:rsid w:val="002C7EBF"/>
    <w:rsid w:val="002D16C0"/>
    <w:rsid w:val="00307245"/>
    <w:rsid w:val="003131B7"/>
    <w:rsid w:val="00332BBF"/>
    <w:rsid w:val="00347CAD"/>
    <w:rsid w:val="0035086D"/>
    <w:rsid w:val="00370766"/>
    <w:rsid w:val="003765CD"/>
    <w:rsid w:val="003B447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061E"/>
    <w:rsid w:val="005D5305"/>
    <w:rsid w:val="005E2C44"/>
    <w:rsid w:val="005E4909"/>
    <w:rsid w:val="00600DC4"/>
    <w:rsid w:val="00603517"/>
    <w:rsid w:val="00607CA1"/>
    <w:rsid w:val="006413AA"/>
    <w:rsid w:val="00642835"/>
    <w:rsid w:val="0064455C"/>
    <w:rsid w:val="0065003E"/>
    <w:rsid w:val="00655FC1"/>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2C47"/>
    <w:rsid w:val="007B4183"/>
    <w:rsid w:val="007B512A"/>
    <w:rsid w:val="007C2097"/>
    <w:rsid w:val="007C5607"/>
    <w:rsid w:val="007D3BFB"/>
    <w:rsid w:val="007E0DCE"/>
    <w:rsid w:val="007E16D9"/>
    <w:rsid w:val="007F4FDC"/>
    <w:rsid w:val="00800104"/>
    <w:rsid w:val="0080691C"/>
    <w:rsid w:val="00817868"/>
    <w:rsid w:val="00831C4E"/>
    <w:rsid w:val="00832D05"/>
    <w:rsid w:val="00837283"/>
    <w:rsid w:val="00843C3D"/>
    <w:rsid w:val="00847D51"/>
    <w:rsid w:val="0085467E"/>
    <w:rsid w:val="00856B98"/>
    <w:rsid w:val="00870EE7"/>
    <w:rsid w:val="00873B74"/>
    <w:rsid w:val="00881AEE"/>
    <w:rsid w:val="00892B19"/>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09C4"/>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92D23"/>
    <w:rsid w:val="00AA76AB"/>
    <w:rsid w:val="00AB0C79"/>
    <w:rsid w:val="00AB6534"/>
    <w:rsid w:val="00AC13CA"/>
    <w:rsid w:val="00AD2965"/>
    <w:rsid w:val="00AD384E"/>
    <w:rsid w:val="00AD7C25"/>
    <w:rsid w:val="00AF79C3"/>
    <w:rsid w:val="00B05B9E"/>
    <w:rsid w:val="00B15EB6"/>
    <w:rsid w:val="00B258BB"/>
    <w:rsid w:val="00B35C6C"/>
    <w:rsid w:val="00B447AB"/>
    <w:rsid w:val="00B46356"/>
    <w:rsid w:val="00B660D7"/>
    <w:rsid w:val="00B66D06"/>
    <w:rsid w:val="00B74C22"/>
    <w:rsid w:val="00B754CE"/>
    <w:rsid w:val="00B8024E"/>
    <w:rsid w:val="00B95BA0"/>
    <w:rsid w:val="00B95BC8"/>
    <w:rsid w:val="00BA016E"/>
    <w:rsid w:val="00BB5DFC"/>
    <w:rsid w:val="00BC2979"/>
    <w:rsid w:val="00BC7EB8"/>
    <w:rsid w:val="00BD279D"/>
    <w:rsid w:val="00BD4E58"/>
    <w:rsid w:val="00C07199"/>
    <w:rsid w:val="00C1041E"/>
    <w:rsid w:val="00C123D3"/>
    <w:rsid w:val="00C1723F"/>
    <w:rsid w:val="00C217B8"/>
    <w:rsid w:val="00C21836"/>
    <w:rsid w:val="00C22BE3"/>
    <w:rsid w:val="00C31550"/>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5B5"/>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447AB"/>
    <w:rPr>
      <w:rFonts w:ascii="Times New Roman" w:hAnsi="Times New Roman"/>
      <w:lang w:eastAsia="en-US"/>
    </w:rPr>
  </w:style>
  <w:style w:type="paragraph" w:styleId="af1">
    <w:name w:val="Revision"/>
    <w:hidden/>
    <w:uiPriority w:val="99"/>
    <w:semiHidden/>
    <w:rsid w:val="00655FC1"/>
    <w:rPr>
      <w:rFonts w:ascii="Times New Roman" w:hAnsi="Times New Roman"/>
      <w:lang w:val="en-GB" w:eastAsia="en-US"/>
    </w:rPr>
  </w:style>
  <w:style w:type="character" w:customStyle="1" w:styleId="THChar">
    <w:name w:val="TH Char"/>
    <w:link w:val="TH"/>
    <w:qFormat/>
    <w:rsid w:val="00C22BE3"/>
    <w:rPr>
      <w:rFonts w:ascii="Arial" w:hAnsi="Arial"/>
      <w:b/>
      <w:lang w:val="en-GB" w:eastAsia="en-US"/>
    </w:rPr>
  </w:style>
  <w:style w:type="character" w:customStyle="1" w:styleId="TFChar">
    <w:name w:val="TF Char"/>
    <w:link w:val="TF"/>
    <w:qFormat/>
    <w:locked/>
    <w:rsid w:val="00C22BE3"/>
    <w:rPr>
      <w:rFonts w:ascii="Arial" w:hAnsi="Arial"/>
      <w:b/>
      <w:lang w:val="en-GB" w:eastAsia="en-US"/>
    </w:rPr>
  </w:style>
  <w:style w:type="character" w:customStyle="1" w:styleId="NOZchn">
    <w:name w:val="NO Zchn"/>
    <w:link w:val="NO"/>
    <w:qFormat/>
    <w:rsid w:val="00C22BE3"/>
    <w:rPr>
      <w:rFonts w:ascii="Times New Roman" w:hAnsi="Times New Roman"/>
      <w:lang w:val="en-GB" w:eastAsia="en-US"/>
    </w:rPr>
  </w:style>
  <w:style w:type="character" w:customStyle="1" w:styleId="NOChar">
    <w:name w:val="NO Char"/>
    <w:locked/>
    <w:rsid w:val="00F275B5"/>
    <w:rPr>
      <w:lang w:val="en-GB" w:eastAsia="en-US"/>
    </w:rPr>
  </w:style>
  <w:style w:type="character" w:customStyle="1" w:styleId="EditorsNoteChar">
    <w:name w:val="Editor's Note Char"/>
    <w:aliases w:val="EN Char,Editor's Note Char1"/>
    <w:link w:val="EditorsNote"/>
    <w:qFormat/>
    <w:locked/>
    <w:rsid w:val="00F275B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7.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package" Target="embeddings/Microsoft_Visio_Drawing20.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Props1.xml><?xml version="1.0" encoding="utf-8"?>
<ds:datastoreItem xmlns:ds="http://schemas.openxmlformats.org/officeDocument/2006/customXml" ds:itemID="{8CF4CB16-FD22-4209-8D03-FBB8E80681D6}"/>
</file>

<file path=customXml/itemProps2.xml><?xml version="1.0" encoding="utf-8"?>
<ds:datastoreItem xmlns:ds="http://schemas.openxmlformats.org/officeDocument/2006/customXml" ds:itemID="{B7E16FB9-5C79-48CA-BF9D-85C78EEEA3AD}"/>
</file>

<file path=customXml/itemProps3.xml><?xml version="1.0" encoding="utf-8"?>
<ds:datastoreItem xmlns:ds="http://schemas.openxmlformats.org/officeDocument/2006/customXml" ds:itemID="{9D0A13B4-9AC9-4421-BBE2-A3F094A47081}"/>
</file>

<file path=docProps/app.xml><?xml version="1.0" encoding="utf-8"?>
<Properties xmlns="http://schemas.openxmlformats.org/officeDocument/2006/extended-properties" xmlns:vt="http://schemas.openxmlformats.org/officeDocument/2006/docPropsVTypes">
  <Template>3gpp_70</Template>
  <TotalTime>58</TotalTime>
  <Pages>4</Pages>
  <Words>919</Words>
  <Characters>5243</Characters>
  <Application>Microsoft Office Word</Application>
  <DocSecurity>0</DocSecurity>
  <Lines>43</Lines>
  <Paragraphs>12</Paragraphs>
  <ScaleCrop>false</ScaleCrop>
  <HeadingPairs>
    <vt:vector size="2" baseType="variant">
      <vt:variant>
        <vt:lpstr>タイトル</vt:lpstr>
      </vt:variant>
      <vt:variant>
        <vt:i4>1</vt:i4>
      </vt:variant>
    </vt:vector>
  </HeadingPairs>
  <TitlesOfParts>
    <vt:vector size="1" baseType="lpstr">
      <vt:lpstr>3GPP Change Request</vt:lpstr>
    </vt:vector>
  </TitlesOfParts>
  <Company/>
  <LinksUpToDate>false</LinksUpToDate>
  <CharactersWithSpaces>6150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Yuushin Hayashi [NTT Docomo]</cp:lastModifiedBy>
  <cp:revision>21</cp:revision>
  <cp:lastPrinted>1899-12-31T23:00:00Z</cp:lastPrinted>
  <dcterms:created xsi:type="dcterms:W3CDTF">2023-05-09T09:18:00Z</dcterms:created>
  <dcterms:modified xsi:type="dcterms:W3CDTF">2024-10-07T12:10:00Z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0x01010016E6B42244EEFB4E9184468D0BCF3AA1</vt:lpwstr>
  </property>
</Properties>
</file>